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B8F44" w14:textId="77777777" w:rsidR="00F012FE" w:rsidRPr="005A0180" w:rsidRDefault="00F012FE" w:rsidP="004C2915">
      <w:pPr>
        <w:jc w:val="both"/>
      </w:pPr>
    </w:p>
    <w:p w14:paraId="7F8E1371" w14:textId="112297FC" w:rsidR="007678F3" w:rsidRPr="005A0180" w:rsidRDefault="000D3C83" w:rsidP="004C2915">
      <w:pPr>
        <w:ind w:firstLine="708"/>
        <w:jc w:val="both"/>
      </w:pPr>
      <w:r w:rsidRPr="000D3C83">
        <w:t xml:space="preserve">Ağrı İbrahim Çeçen Üniversitesi; öğrenciler, ziyaretçiler, üçüncü taraflar ve yükleniciler dahil olmak üzere Üniversitenin tüm personelinin ve iş faaliyetlerinden etkilenenlerin iş sağlığını, güvenliğini ve refahını </w:t>
      </w:r>
      <w:r w:rsidR="007678F3" w:rsidRPr="005A0180">
        <w:t>sağlamayı taahhüt eder.</w:t>
      </w:r>
    </w:p>
    <w:p w14:paraId="484D7690" w14:textId="4AE67F21" w:rsidR="007678F3" w:rsidRPr="005A0180" w:rsidRDefault="007678F3" w:rsidP="000D3C83">
      <w:pPr>
        <w:ind w:firstLine="708"/>
        <w:jc w:val="both"/>
      </w:pPr>
      <w:r w:rsidRPr="005A0180">
        <w:t xml:space="preserve"> Üniversite</w:t>
      </w:r>
      <w:r w:rsidR="000D3C83">
        <w:t>,</w:t>
      </w:r>
      <w:r w:rsidRPr="005A0180">
        <w:t xml:space="preserve"> tüm yerleşkelerinde iş sağlığı ve güvenliği </w:t>
      </w:r>
      <w:r w:rsidR="000D3C83">
        <w:t xml:space="preserve">hizmetlerini yürütmek amacıyla </w:t>
      </w:r>
      <w:r w:rsidRPr="005A0180">
        <w:t xml:space="preserve">kurduğu Ağrı İbrahim Çeçen Üniversitesi İş Sağlığı ve Güvenliği </w:t>
      </w:r>
      <w:r w:rsidR="006E08E5">
        <w:t xml:space="preserve">Kurum </w:t>
      </w:r>
      <w:r w:rsidR="002E2A1D">
        <w:t>Koordinatörlüğü</w:t>
      </w:r>
      <w:r w:rsidRPr="005A0180">
        <w:t xml:space="preserve"> ve bu birimde görev yapan İSG Profesyonelleri ile </w:t>
      </w:r>
      <w:r w:rsidR="000D3C83">
        <w:t xml:space="preserve">işle ilgili yaralanma ve sağlığın bozulmasının önlenmesi için güvenli ve sağlıklı çalışma koşullarını sağlamaya kendini adamıştır. </w:t>
      </w:r>
    </w:p>
    <w:p w14:paraId="15581D93" w14:textId="0EF159B6" w:rsidR="004C2915" w:rsidRPr="005A0180" w:rsidRDefault="002C7A15" w:rsidP="004C2915">
      <w:pPr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Bu kapsamda </w:t>
      </w:r>
      <w:r w:rsidR="004C2915" w:rsidRPr="005A0180">
        <w:rPr>
          <w:rFonts w:asciiTheme="majorHAnsi" w:hAnsiTheme="majorHAnsi" w:cstheme="majorHAnsi"/>
          <w:b/>
          <w:bCs/>
        </w:rPr>
        <w:t xml:space="preserve">Ağrı İbrahim Çeçen Üniversitesi </w:t>
      </w:r>
      <w:r w:rsidR="000D3C83">
        <w:rPr>
          <w:rFonts w:asciiTheme="majorHAnsi" w:hAnsiTheme="majorHAnsi" w:cstheme="majorHAnsi"/>
          <w:b/>
          <w:bCs/>
        </w:rPr>
        <w:t xml:space="preserve">Üst Yönetimi olarak </w:t>
      </w:r>
      <w:r w:rsidR="000D3C83" w:rsidRPr="000D3C83">
        <w:rPr>
          <w:rFonts w:asciiTheme="majorHAnsi" w:hAnsiTheme="majorHAnsi" w:cstheme="majorHAnsi"/>
          <w:b/>
          <w:bCs/>
        </w:rPr>
        <w:t>İSG yönetim sistemine ilişkin liderlik ve taahhü</w:t>
      </w:r>
      <w:r w:rsidR="000D3C83">
        <w:rPr>
          <w:rFonts w:asciiTheme="majorHAnsi" w:hAnsiTheme="majorHAnsi" w:cstheme="majorHAnsi"/>
          <w:b/>
          <w:bCs/>
        </w:rPr>
        <w:t xml:space="preserve">tlerimiz </w:t>
      </w:r>
      <w:r>
        <w:rPr>
          <w:rFonts w:asciiTheme="majorHAnsi" w:hAnsiTheme="majorHAnsi" w:cstheme="majorHAnsi"/>
          <w:b/>
          <w:bCs/>
        </w:rPr>
        <w:t>şöyledir;</w:t>
      </w:r>
    </w:p>
    <w:p w14:paraId="70733FE7" w14:textId="7777777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Güvenli ve sağlıklı işyerleri ve faaliyetlerinin sağlanmasının yanı sıra işle ilgili yaralanma ve sağlığın bozulmasının önlenmesi için genel sorumluluğu ve hesap verebilirliği üstlenmesi,</w:t>
      </w:r>
    </w:p>
    <w:p w14:paraId="10678745" w14:textId="7777777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İSG politikası ve ilgili İSG hedeflerinin oluşturulduğunun ve bunların kuruluşun stratejik yönü ile uyumlu olduğunun güvence altına alınması,</w:t>
      </w:r>
    </w:p>
    <w:p w14:paraId="6EBD0967" w14:textId="165AD9E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İSG yönetim sistemi şartlarının, Ağrı İbrahim Çeçen Üniversitesi iş prosesleri ile entegre olduğunun güvence altına alınması,</w:t>
      </w:r>
    </w:p>
    <w:p w14:paraId="651E9C1E" w14:textId="7777777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İSG yönetim sistemini oluşturmak, uygulamak, sürekliliğini sağlamak ve geliştirmek için gerekli kaynakların varlığının güvence altına alınması,</w:t>
      </w:r>
    </w:p>
    <w:p w14:paraId="625813B9" w14:textId="7777777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Etkin İSG yönetimi ve İSG yönetim sistem şartlarına uygunluğun öneminin iletilmesi,</w:t>
      </w:r>
    </w:p>
    <w:p w14:paraId="67F97E77" w14:textId="7777777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İSG yönetim sisteminin amaçlanan çıktı/çıktılarına erişmesinin güvence altına alınması,</w:t>
      </w:r>
    </w:p>
    <w:p w14:paraId="69758866" w14:textId="7777777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İSG yönetim sisteminin etkinliğine katkı sağlayacak personelin yönlendirilmesi ve desteklemesi,</w:t>
      </w:r>
    </w:p>
    <w:p w14:paraId="5CFEA3D8" w14:textId="7777777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Sürekli iyileştirmeyi güvence altına alması ve teşvik etmesi,</w:t>
      </w:r>
    </w:p>
    <w:p w14:paraId="2FE079CD" w14:textId="7777777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Diğer ilgili yönetim görevlerini yerine getiren personeli, kendi sorumluluk alanlarına uygulanması bakımından liderliğini göstermek için desteklemesi</w:t>
      </w:r>
    </w:p>
    <w:p w14:paraId="51AD6944" w14:textId="057EF9F2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Ağrı İbrahim Çeçen Üniversitesinde, İSG yönetim sisteminin amaçlanan çıktılarını destekleyen bir kültür geliştirmesi, öncülük etmesi ve teşvik etmesi,</w:t>
      </w:r>
    </w:p>
    <w:p w14:paraId="04AC2D99" w14:textId="77777777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>Çalışanların olayları, tehlikeleri, riskleri ve fırsatları raporlarken misillemeden korunması,</w:t>
      </w:r>
    </w:p>
    <w:p w14:paraId="45BE1155" w14:textId="661C03E8" w:rsidR="004C2915" w:rsidRPr="005A0180" w:rsidRDefault="004C2915" w:rsidP="004C2915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 xml:space="preserve">Ağrı İbrahim Çeçen Üniversitesi danışma ve çalışanların katılımı </w:t>
      </w:r>
      <w:r w:rsidR="002E2A1D" w:rsidRPr="005A0180">
        <w:rPr>
          <w:rFonts w:asciiTheme="majorHAnsi" w:hAnsiTheme="majorHAnsi" w:cstheme="majorHAnsi"/>
        </w:rPr>
        <w:t xml:space="preserve">için </w:t>
      </w:r>
      <w:r w:rsidR="002E2A1D">
        <w:rPr>
          <w:rFonts w:asciiTheme="majorHAnsi" w:hAnsiTheme="majorHAnsi" w:cstheme="majorHAnsi"/>
        </w:rPr>
        <w:t>İSG yönetim sistemi standardına uygun</w:t>
      </w:r>
      <w:r w:rsidRPr="005A0180">
        <w:rPr>
          <w:rFonts w:asciiTheme="majorHAnsi" w:hAnsiTheme="majorHAnsi" w:cstheme="majorHAnsi"/>
        </w:rPr>
        <w:t xml:space="preserve"> proses/prosesleri oluşturma ve uygulamasını güvence altına alması,</w:t>
      </w:r>
    </w:p>
    <w:p w14:paraId="54A203DE" w14:textId="77777777" w:rsidR="002E4018" w:rsidRDefault="004C2915" w:rsidP="002E4018">
      <w:pPr>
        <w:pStyle w:val="ListeParagraf"/>
        <w:numPr>
          <w:ilvl w:val="0"/>
          <w:numId w:val="3"/>
        </w:numPr>
        <w:jc w:val="both"/>
        <w:rPr>
          <w:rFonts w:asciiTheme="majorHAnsi" w:hAnsiTheme="majorHAnsi" w:cstheme="majorHAnsi"/>
        </w:rPr>
      </w:pPr>
      <w:r w:rsidRPr="005A0180">
        <w:rPr>
          <w:rFonts w:asciiTheme="majorHAnsi" w:hAnsiTheme="majorHAnsi" w:cstheme="majorHAnsi"/>
        </w:rPr>
        <w:t xml:space="preserve">Sağlık ve güvenlik kurullarının </w:t>
      </w:r>
      <w:r w:rsidR="00C61537">
        <w:rPr>
          <w:rFonts w:asciiTheme="majorHAnsi" w:hAnsiTheme="majorHAnsi" w:cstheme="majorHAnsi"/>
        </w:rPr>
        <w:t>İSG yönetim sistemi standardına uygun</w:t>
      </w:r>
      <w:r w:rsidR="00C61537" w:rsidRPr="005A0180">
        <w:rPr>
          <w:rFonts w:asciiTheme="majorHAnsi" w:hAnsiTheme="majorHAnsi" w:cstheme="majorHAnsi"/>
        </w:rPr>
        <w:t xml:space="preserve"> </w:t>
      </w:r>
      <w:r w:rsidRPr="005A0180">
        <w:rPr>
          <w:rFonts w:asciiTheme="majorHAnsi" w:hAnsiTheme="majorHAnsi" w:cstheme="majorHAnsi"/>
        </w:rPr>
        <w:t>oluşturulması ve faaliyette bulunmasını desteklemesi.</w:t>
      </w:r>
    </w:p>
    <w:p w14:paraId="4EE4FAFA" w14:textId="77777777" w:rsidR="004C2915" w:rsidRPr="00624FA0" w:rsidRDefault="004C2915" w:rsidP="002E4018"/>
    <w:p w14:paraId="25AC218F" w14:textId="27E96BAE" w:rsidR="005A0180" w:rsidRPr="00624FA0" w:rsidRDefault="001D6E4B" w:rsidP="002E4018">
      <w:pPr>
        <w:jc w:val="both"/>
        <w:rPr>
          <w:rFonts w:asciiTheme="majorHAnsi" w:hAnsiTheme="majorHAnsi" w:cstheme="majorHAnsi"/>
        </w:rPr>
      </w:pPr>
      <w:r w:rsidRPr="00624FA0">
        <w:rPr>
          <w:rFonts w:asciiTheme="majorHAnsi" w:hAnsiTheme="majorHAnsi" w:cstheme="majorHAnsi"/>
        </w:rPr>
        <w:t>Ağrı İbrahim Çeçen Üniversitesi yönetimi</w:t>
      </w:r>
      <w:r w:rsidR="00C358D0" w:rsidRPr="00624FA0">
        <w:rPr>
          <w:rFonts w:asciiTheme="majorHAnsi" w:hAnsiTheme="majorHAnsi" w:cstheme="majorHAnsi"/>
        </w:rPr>
        <w:t xml:space="preserve"> olarak </w:t>
      </w:r>
      <w:r w:rsidR="002E4018" w:rsidRPr="00624FA0">
        <w:rPr>
          <w:rFonts w:asciiTheme="majorHAnsi" w:hAnsiTheme="majorHAnsi" w:cstheme="majorHAnsi"/>
          <w:b/>
          <w:bCs/>
        </w:rPr>
        <w:t>“Güvenli ve Sağlıklı Çalışma Ortamı Her Çalışanın En Temel Hakkı”</w:t>
      </w:r>
      <w:r w:rsidR="00C358D0" w:rsidRPr="00624FA0">
        <w:rPr>
          <w:rFonts w:asciiTheme="majorHAnsi" w:hAnsiTheme="majorHAnsi" w:cstheme="majorHAnsi"/>
        </w:rPr>
        <w:t xml:space="preserve"> ilkesine liderlik etmeyi ve bu doğrultuda gerekli kaynakları sağlamayı taahhüt ederiz.</w:t>
      </w:r>
    </w:p>
    <w:p w14:paraId="3439D330" w14:textId="77777777" w:rsidR="00876CB6" w:rsidRDefault="00876CB6" w:rsidP="00876CB6">
      <w:pPr>
        <w:ind w:firstLine="708"/>
        <w:jc w:val="center"/>
        <w:rPr>
          <w:b/>
          <w:bCs/>
        </w:rPr>
      </w:pPr>
    </w:p>
    <w:p w14:paraId="58195C7A" w14:textId="77777777" w:rsidR="004E52FB" w:rsidRDefault="004E52FB" w:rsidP="00876CB6">
      <w:pPr>
        <w:ind w:firstLine="708"/>
        <w:jc w:val="center"/>
        <w:rPr>
          <w:b/>
          <w:bCs/>
        </w:rPr>
      </w:pPr>
    </w:p>
    <w:p w14:paraId="59FD83EC" w14:textId="65060D51" w:rsidR="007678F3" w:rsidRPr="005A0180" w:rsidRDefault="007678F3" w:rsidP="00876CB6">
      <w:pPr>
        <w:ind w:firstLine="708"/>
        <w:jc w:val="center"/>
        <w:rPr>
          <w:b/>
          <w:bCs/>
        </w:rPr>
      </w:pPr>
      <w:r w:rsidRPr="005A0180">
        <w:rPr>
          <w:b/>
          <w:bCs/>
        </w:rPr>
        <w:t xml:space="preserve">Prof. Dr. </w:t>
      </w:r>
      <w:proofErr w:type="spellStart"/>
      <w:r w:rsidRPr="005A0180">
        <w:rPr>
          <w:b/>
          <w:bCs/>
        </w:rPr>
        <w:t>Abdulhalik</w:t>
      </w:r>
      <w:proofErr w:type="spellEnd"/>
      <w:r w:rsidRPr="005A0180">
        <w:rPr>
          <w:b/>
          <w:bCs/>
        </w:rPr>
        <w:t xml:space="preserve"> KARABULUT</w:t>
      </w:r>
    </w:p>
    <w:p w14:paraId="773E1FC7" w14:textId="377A84A6" w:rsidR="00E032C2" w:rsidRPr="005A0180" w:rsidRDefault="007678F3" w:rsidP="00876CB6">
      <w:pPr>
        <w:ind w:firstLine="708"/>
        <w:jc w:val="center"/>
        <w:rPr>
          <w:b/>
          <w:bCs/>
          <w:color w:val="FF0000"/>
          <w:u w:val="single"/>
        </w:rPr>
      </w:pPr>
      <w:r w:rsidRPr="005A0180">
        <w:rPr>
          <w:b/>
          <w:bCs/>
        </w:rPr>
        <w:t>Rektör</w:t>
      </w:r>
    </w:p>
    <w:sectPr w:rsidR="00E032C2" w:rsidRPr="005A0180" w:rsidSect="00522E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0A3CA" w14:textId="77777777" w:rsidR="00EF073D" w:rsidRDefault="00EF073D" w:rsidP="001517BD">
      <w:pPr>
        <w:spacing w:after="0" w:line="240" w:lineRule="auto"/>
      </w:pPr>
      <w:r>
        <w:separator/>
      </w:r>
    </w:p>
  </w:endnote>
  <w:endnote w:type="continuationSeparator" w:id="0">
    <w:p w14:paraId="7082C3B4" w14:textId="77777777" w:rsidR="00EF073D" w:rsidRDefault="00EF073D" w:rsidP="0015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68FBB" w14:textId="77777777" w:rsidR="006A448B" w:rsidRDefault="006A44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022"/>
      <w:gridCol w:w="3021"/>
      <w:gridCol w:w="3019"/>
    </w:tblGrid>
    <w:tr w:rsidR="00522E71" w:rsidRPr="00522E71" w14:paraId="36CBD52D" w14:textId="77777777" w:rsidTr="00F0249A">
      <w:trPr>
        <w:trHeight w:val="850"/>
      </w:trPr>
      <w:tc>
        <w:tcPr>
          <w:tcW w:w="1667" w:type="pct"/>
          <w:shd w:val="clear" w:color="auto" w:fill="auto"/>
        </w:tcPr>
        <w:p w14:paraId="23CDFF63" w14:textId="77777777" w:rsidR="00522E71" w:rsidRPr="00522E71" w:rsidRDefault="00522E71" w:rsidP="00522E71">
          <w:pPr>
            <w:pStyle w:val="AltBilgi"/>
            <w:jc w:val="center"/>
            <w:rPr>
              <w:b/>
              <w:lang w:val="en-US"/>
            </w:rPr>
          </w:pPr>
          <w:r w:rsidRPr="00522E71">
            <w:rPr>
              <w:b/>
              <w:lang w:val="en-US"/>
            </w:rPr>
            <w:t>HAZIRLAYAN</w:t>
          </w:r>
        </w:p>
      </w:tc>
      <w:tc>
        <w:tcPr>
          <w:tcW w:w="1667" w:type="pct"/>
          <w:shd w:val="clear" w:color="auto" w:fill="auto"/>
        </w:tcPr>
        <w:p w14:paraId="30CB4E4F" w14:textId="77777777" w:rsidR="00522E71" w:rsidRPr="00522E71" w:rsidRDefault="00522E71" w:rsidP="00522E71">
          <w:pPr>
            <w:pStyle w:val="AltBilgi"/>
            <w:jc w:val="center"/>
            <w:rPr>
              <w:b/>
              <w:lang w:val="en-US"/>
            </w:rPr>
          </w:pPr>
          <w:r w:rsidRPr="00522E71">
            <w:rPr>
              <w:b/>
              <w:lang w:val="en-US"/>
            </w:rPr>
            <w:t>KONTROL EDEN</w:t>
          </w:r>
        </w:p>
      </w:tc>
      <w:tc>
        <w:tcPr>
          <w:tcW w:w="1666" w:type="pct"/>
          <w:shd w:val="clear" w:color="auto" w:fill="auto"/>
        </w:tcPr>
        <w:p w14:paraId="02880245" w14:textId="77777777" w:rsidR="00522E71" w:rsidRPr="00522E71" w:rsidRDefault="00522E71" w:rsidP="00522E71">
          <w:pPr>
            <w:pStyle w:val="AltBilgi"/>
            <w:jc w:val="center"/>
            <w:rPr>
              <w:b/>
              <w:lang w:val="en-US"/>
            </w:rPr>
          </w:pPr>
          <w:r w:rsidRPr="00522E71">
            <w:rPr>
              <w:b/>
              <w:lang w:val="en-US"/>
            </w:rPr>
            <w:t>ONAYLAYAN</w:t>
          </w:r>
        </w:p>
      </w:tc>
    </w:tr>
  </w:tbl>
  <w:p w14:paraId="7DAC8E44" w14:textId="77777777" w:rsidR="00522E71" w:rsidRDefault="00522E7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29A8E" w14:textId="77777777" w:rsidR="006A448B" w:rsidRDefault="006A44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C16D3" w14:textId="77777777" w:rsidR="00EF073D" w:rsidRDefault="00EF073D" w:rsidP="001517BD">
      <w:pPr>
        <w:spacing w:after="0" w:line="240" w:lineRule="auto"/>
      </w:pPr>
      <w:r>
        <w:separator/>
      </w:r>
    </w:p>
  </w:footnote>
  <w:footnote w:type="continuationSeparator" w:id="0">
    <w:p w14:paraId="5F32E250" w14:textId="77777777" w:rsidR="00EF073D" w:rsidRDefault="00EF073D" w:rsidP="0015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E455B" w14:textId="77777777" w:rsidR="006A448B" w:rsidRDefault="006A44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755"/>
      <w:gridCol w:w="4267"/>
      <w:gridCol w:w="3975"/>
    </w:tblGrid>
    <w:tr w:rsidR="00522E71" w:rsidRPr="00522E71" w14:paraId="394FB930" w14:textId="77777777" w:rsidTr="00F0249A">
      <w:trPr>
        <w:trHeight w:val="271"/>
      </w:trPr>
      <w:tc>
        <w:tcPr>
          <w:tcW w:w="2755" w:type="dxa"/>
          <w:vMerge w:val="restart"/>
          <w:shd w:val="clear" w:color="auto" w:fill="auto"/>
          <w:noWrap/>
          <w:hideMark/>
        </w:tcPr>
        <w:p w14:paraId="37B9EFA4" w14:textId="0EA82DC6" w:rsidR="00522E71" w:rsidRPr="00522E71" w:rsidRDefault="00522E71" w:rsidP="00522E71">
          <w:pPr>
            <w:pStyle w:val="stBilgi"/>
            <w:jc w:val="center"/>
          </w:pPr>
          <w:r w:rsidRPr="00522E71">
            <w:rPr>
              <w:noProof/>
            </w:rPr>
            <w:drawing>
              <wp:inline distT="0" distB="0" distL="0" distR="0" wp14:anchorId="3E8CB99F" wp14:editId="19A5F4AC">
                <wp:extent cx="971550" cy="1019175"/>
                <wp:effectExtent l="0" t="0" r="0" b="9525"/>
                <wp:docPr id="1" name="Resim 1" descr="C:\Users\AICU\Picture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AICU\Picture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7" w:type="dxa"/>
          <w:vMerge w:val="restart"/>
          <w:shd w:val="clear" w:color="auto" w:fill="auto"/>
          <w:hideMark/>
        </w:tcPr>
        <w:p w14:paraId="732B291D" w14:textId="77777777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  <w:p w14:paraId="6ACBDF6F" w14:textId="77777777" w:rsidR="00522E71" w:rsidRPr="006A448B" w:rsidRDefault="00522E71" w:rsidP="006A448B">
          <w:pPr>
            <w:pStyle w:val="stBilgi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A448B">
            <w:rPr>
              <w:rFonts w:ascii="Times New Roman" w:hAnsi="Times New Roman" w:cs="Times New Roman"/>
              <w:sz w:val="20"/>
              <w:szCs w:val="20"/>
            </w:rPr>
            <w:t>İŞ SAĞLIĞI VE GÜVENLİĞİ TAAHHÜTNAMESİ</w:t>
          </w:r>
        </w:p>
        <w:p w14:paraId="60A37BF6" w14:textId="77777777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noWrap/>
          <w:hideMark/>
        </w:tcPr>
        <w:p w14:paraId="7AD7867F" w14:textId="032468D2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A448B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proofErr w:type="gramStart"/>
          <w:r w:rsidRPr="006A448B">
            <w:rPr>
              <w:rFonts w:ascii="Times New Roman" w:hAnsi="Times New Roman" w:cs="Times New Roman"/>
              <w:sz w:val="20"/>
              <w:szCs w:val="20"/>
            </w:rPr>
            <w:t>İSG -</w:t>
          </w:r>
          <w:proofErr w:type="gramEnd"/>
          <w:r w:rsidRPr="006A448B">
            <w:rPr>
              <w:rFonts w:ascii="Times New Roman" w:hAnsi="Times New Roman" w:cs="Times New Roman"/>
              <w:sz w:val="20"/>
              <w:szCs w:val="20"/>
            </w:rPr>
            <w:t xml:space="preserve"> THT - 001</w:t>
          </w:r>
        </w:p>
      </w:tc>
    </w:tr>
    <w:tr w:rsidR="00522E71" w:rsidRPr="00522E71" w14:paraId="1A5174F4" w14:textId="77777777" w:rsidTr="00F0249A">
      <w:trPr>
        <w:trHeight w:val="271"/>
      </w:trPr>
      <w:tc>
        <w:tcPr>
          <w:tcW w:w="2755" w:type="dxa"/>
          <w:vMerge/>
          <w:shd w:val="clear" w:color="auto" w:fill="auto"/>
          <w:hideMark/>
        </w:tcPr>
        <w:p w14:paraId="42803470" w14:textId="77777777" w:rsidR="00522E71" w:rsidRPr="00522E71" w:rsidRDefault="00522E71" w:rsidP="00522E71">
          <w:pPr>
            <w:pStyle w:val="stBilgi"/>
          </w:pPr>
        </w:p>
      </w:tc>
      <w:tc>
        <w:tcPr>
          <w:tcW w:w="4267" w:type="dxa"/>
          <w:vMerge/>
          <w:shd w:val="clear" w:color="auto" w:fill="auto"/>
          <w:hideMark/>
        </w:tcPr>
        <w:p w14:paraId="4B6889E6" w14:textId="77777777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hideMark/>
        </w:tcPr>
        <w:p w14:paraId="047F14E6" w14:textId="77777777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A448B">
            <w:rPr>
              <w:rFonts w:ascii="Times New Roman" w:hAnsi="Times New Roman" w:cs="Times New Roman"/>
              <w:sz w:val="20"/>
              <w:szCs w:val="20"/>
            </w:rPr>
            <w:t>İlk Yayın Tarihi: 13.05.2024</w:t>
          </w:r>
        </w:p>
      </w:tc>
    </w:tr>
    <w:tr w:rsidR="00522E71" w:rsidRPr="00522E71" w14:paraId="111EA262" w14:textId="77777777" w:rsidTr="00F0249A">
      <w:trPr>
        <w:trHeight w:val="271"/>
      </w:trPr>
      <w:tc>
        <w:tcPr>
          <w:tcW w:w="2755" w:type="dxa"/>
          <w:vMerge/>
          <w:shd w:val="clear" w:color="auto" w:fill="auto"/>
          <w:hideMark/>
        </w:tcPr>
        <w:p w14:paraId="42006D5D" w14:textId="77777777" w:rsidR="00522E71" w:rsidRPr="00522E71" w:rsidRDefault="00522E71" w:rsidP="00522E71">
          <w:pPr>
            <w:pStyle w:val="stBilgi"/>
          </w:pPr>
        </w:p>
      </w:tc>
      <w:tc>
        <w:tcPr>
          <w:tcW w:w="4267" w:type="dxa"/>
          <w:vMerge/>
          <w:shd w:val="clear" w:color="auto" w:fill="auto"/>
          <w:hideMark/>
        </w:tcPr>
        <w:p w14:paraId="25704F85" w14:textId="77777777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hideMark/>
        </w:tcPr>
        <w:p w14:paraId="60A766C6" w14:textId="77777777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A448B">
            <w:rPr>
              <w:rFonts w:ascii="Times New Roman" w:hAnsi="Times New Roman" w:cs="Times New Roman"/>
              <w:sz w:val="20"/>
              <w:szCs w:val="20"/>
            </w:rPr>
            <w:t>Revizyon Tarihi:</w:t>
          </w:r>
        </w:p>
      </w:tc>
    </w:tr>
    <w:tr w:rsidR="00522E71" w:rsidRPr="00522E71" w14:paraId="4763428F" w14:textId="77777777" w:rsidTr="00F0249A">
      <w:trPr>
        <w:trHeight w:val="271"/>
      </w:trPr>
      <w:tc>
        <w:tcPr>
          <w:tcW w:w="2755" w:type="dxa"/>
          <w:vMerge/>
          <w:shd w:val="clear" w:color="auto" w:fill="auto"/>
          <w:hideMark/>
        </w:tcPr>
        <w:p w14:paraId="5F484505" w14:textId="77777777" w:rsidR="00522E71" w:rsidRPr="00522E71" w:rsidRDefault="00522E71" w:rsidP="00522E71">
          <w:pPr>
            <w:pStyle w:val="stBilgi"/>
          </w:pPr>
        </w:p>
      </w:tc>
      <w:tc>
        <w:tcPr>
          <w:tcW w:w="4267" w:type="dxa"/>
          <w:vMerge/>
          <w:shd w:val="clear" w:color="auto" w:fill="auto"/>
          <w:hideMark/>
        </w:tcPr>
        <w:p w14:paraId="728CAC3A" w14:textId="77777777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hideMark/>
        </w:tcPr>
        <w:p w14:paraId="19B81DFD" w14:textId="77777777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A448B">
            <w:rPr>
              <w:rFonts w:ascii="Times New Roman" w:hAnsi="Times New Roman" w:cs="Times New Roman"/>
              <w:sz w:val="20"/>
              <w:szCs w:val="20"/>
            </w:rPr>
            <w:t>Revizyon No: 00</w:t>
          </w:r>
        </w:p>
      </w:tc>
    </w:tr>
    <w:tr w:rsidR="00522E71" w:rsidRPr="00522E71" w14:paraId="4ED4CD44" w14:textId="77777777" w:rsidTr="00F0249A">
      <w:trPr>
        <w:trHeight w:val="271"/>
      </w:trPr>
      <w:tc>
        <w:tcPr>
          <w:tcW w:w="2755" w:type="dxa"/>
          <w:vMerge/>
          <w:shd w:val="clear" w:color="auto" w:fill="auto"/>
          <w:hideMark/>
        </w:tcPr>
        <w:p w14:paraId="45FD4503" w14:textId="77777777" w:rsidR="00522E71" w:rsidRPr="00522E71" w:rsidRDefault="00522E71" w:rsidP="00522E71">
          <w:pPr>
            <w:pStyle w:val="stBilgi"/>
          </w:pPr>
        </w:p>
      </w:tc>
      <w:tc>
        <w:tcPr>
          <w:tcW w:w="4267" w:type="dxa"/>
          <w:vMerge/>
          <w:shd w:val="clear" w:color="auto" w:fill="auto"/>
          <w:hideMark/>
        </w:tcPr>
        <w:p w14:paraId="204D4E7F" w14:textId="77777777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975" w:type="dxa"/>
          <w:shd w:val="clear" w:color="auto" w:fill="auto"/>
          <w:hideMark/>
        </w:tcPr>
        <w:p w14:paraId="50C91FC6" w14:textId="0749FF73" w:rsidR="00522E71" w:rsidRPr="006A448B" w:rsidRDefault="00522E71" w:rsidP="006A448B">
          <w:pPr>
            <w:pStyle w:val="stBilgi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6A448B">
            <w:rPr>
              <w:rFonts w:ascii="Times New Roman" w:hAnsi="Times New Roman" w:cs="Times New Roman"/>
              <w:sz w:val="20"/>
              <w:szCs w:val="20"/>
            </w:rPr>
            <w:t xml:space="preserve">Sayfa No: </w:t>
          </w:r>
          <w:r w:rsidR="006A448B" w:rsidRPr="006A448B">
            <w:rPr>
              <w:rFonts w:ascii="Times New Roman" w:hAnsi="Times New Roman" w:cs="Times New Roman"/>
              <w:sz w:val="20"/>
              <w:szCs w:val="20"/>
            </w:rPr>
            <w:t>1/1</w:t>
          </w:r>
        </w:p>
      </w:tc>
    </w:tr>
  </w:tbl>
  <w:p w14:paraId="2F80D960" w14:textId="352A4D5B" w:rsidR="001517BD" w:rsidRDefault="001517BD" w:rsidP="001517B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17E16" w14:textId="77777777" w:rsidR="006A448B" w:rsidRDefault="006A448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24C7"/>
    <w:multiLevelType w:val="hybridMultilevel"/>
    <w:tmpl w:val="2474E93A"/>
    <w:lvl w:ilvl="0" w:tplc="D5E07BB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080C5C"/>
    <w:multiLevelType w:val="hybridMultilevel"/>
    <w:tmpl w:val="A2029F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64F3B"/>
    <w:multiLevelType w:val="hybridMultilevel"/>
    <w:tmpl w:val="9956DE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515">
    <w:abstractNumId w:val="1"/>
  </w:num>
  <w:num w:numId="2" w16cid:durableId="183130320">
    <w:abstractNumId w:val="0"/>
  </w:num>
  <w:num w:numId="3" w16cid:durableId="1673409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A72"/>
    <w:rsid w:val="000D3C83"/>
    <w:rsid w:val="00113349"/>
    <w:rsid w:val="001517BD"/>
    <w:rsid w:val="00177D94"/>
    <w:rsid w:val="001D6E4B"/>
    <w:rsid w:val="002047FB"/>
    <w:rsid w:val="00271E5E"/>
    <w:rsid w:val="002C7A15"/>
    <w:rsid w:val="002E2A1D"/>
    <w:rsid w:val="002E4018"/>
    <w:rsid w:val="004C2915"/>
    <w:rsid w:val="004E2723"/>
    <w:rsid w:val="004E52FB"/>
    <w:rsid w:val="0050396E"/>
    <w:rsid w:val="00522E71"/>
    <w:rsid w:val="005A0180"/>
    <w:rsid w:val="00624FA0"/>
    <w:rsid w:val="00643F62"/>
    <w:rsid w:val="006A448B"/>
    <w:rsid w:val="006E08E5"/>
    <w:rsid w:val="00754892"/>
    <w:rsid w:val="007678F3"/>
    <w:rsid w:val="00782B25"/>
    <w:rsid w:val="007A047E"/>
    <w:rsid w:val="00825336"/>
    <w:rsid w:val="00876CB6"/>
    <w:rsid w:val="00933BB1"/>
    <w:rsid w:val="00951F47"/>
    <w:rsid w:val="009A6D81"/>
    <w:rsid w:val="00BE0D7D"/>
    <w:rsid w:val="00C358D0"/>
    <w:rsid w:val="00C61537"/>
    <w:rsid w:val="00D30A72"/>
    <w:rsid w:val="00E032C2"/>
    <w:rsid w:val="00EF073D"/>
    <w:rsid w:val="00F012FE"/>
    <w:rsid w:val="00F71DE7"/>
    <w:rsid w:val="00FB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5005EA"/>
  <w15:chartTrackingRefBased/>
  <w15:docId w15:val="{160AF6A9-FAA1-4A5F-813B-187B91CE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E71"/>
  </w:style>
  <w:style w:type="paragraph" w:styleId="Balk1">
    <w:name w:val="heading 1"/>
    <w:basedOn w:val="Normal"/>
    <w:next w:val="Normal"/>
    <w:link w:val="Balk1Char"/>
    <w:uiPriority w:val="9"/>
    <w:qFormat/>
    <w:rsid w:val="00D30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30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30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30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30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30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30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30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30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0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30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30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30A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30A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30A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30A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30A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30A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30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0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30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D30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30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D30A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30A7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D30A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30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D30A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30A7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5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517BD"/>
  </w:style>
  <w:style w:type="paragraph" w:styleId="AltBilgi">
    <w:name w:val="footer"/>
    <w:basedOn w:val="Normal"/>
    <w:link w:val="AltBilgiChar"/>
    <w:uiPriority w:val="99"/>
    <w:unhideWhenUsed/>
    <w:rsid w:val="00151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517BD"/>
  </w:style>
  <w:style w:type="character" w:styleId="Gl">
    <w:name w:val="Strong"/>
    <w:basedOn w:val="VarsaylanParagrafYazTipi"/>
    <w:uiPriority w:val="22"/>
    <w:qFormat/>
    <w:rsid w:val="00C358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TASDELEN</dc:creator>
  <cp:keywords/>
  <dc:description/>
  <cp:lastModifiedBy>YUNUS TASDELEN</cp:lastModifiedBy>
  <cp:revision>3</cp:revision>
  <dcterms:created xsi:type="dcterms:W3CDTF">2024-05-27T11:31:00Z</dcterms:created>
  <dcterms:modified xsi:type="dcterms:W3CDTF">2024-05-29T07:07:00Z</dcterms:modified>
</cp:coreProperties>
</file>